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B855F5" w:rsidRPr="00B855F5">
        <w:rPr>
          <w:b/>
        </w:rPr>
        <w:t>4</w:t>
      </w:r>
      <w:r w:rsidRPr="009C4726">
        <w:rPr>
          <w:b/>
        </w:rPr>
        <w:t xml:space="preserve"> квартале </w:t>
      </w:r>
      <w:r w:rsidR="00C6301A" w:rsidRPr="00C6301A">
        <w:rPr>
          <w:b/>
        </w:rPr>
        <w:t>2020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B855F5" w:rsidRPr="00B855F5">
        <w:rPr>
          <w:b/>
        </w:rPr>
        <w:t>4</w:t>
      </w:r>
      <w:r w:rsidRPr="00A61728">
        <w:rPr>
          <w:b/>
        </w:rPr>
        <w:t xml:space="preserve"> квартале </w:t>
      </w:r>
      <w:r w:rsidR="00C6301A" w:rsidRPr="00C6301A">
        <w:rPr>
          <w:b/>
        </w:rPr>
        <w:t>2020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9D30F9" w:rsidRPr="009D30F9">
        <w:rPr>
          <w:b/>
        </w:rPr>
        <w:t>1</w:t>
      </w:r>
      <w:r w:rsidR="00B855F5" w:rsidRPr="00B855F5">
        <w:rPr>
          <w:b/>
        </w:rPr>
        <w:t xml:space="preserve">5 </w:t>
      </w:r>
      <w:r>
        <w:t>обращени</w:t>
      </w:r>
      <w:r w:rsidR="009D30F9">
        <w:t>й</w:t>
      </w:r>
      <w:r w:rsidR="00875CE6">
        <w:t xml:space="preserve"> </w:t>
      </w:r>
      <w:r>
        <w:t>граждан, организаций и общественны</w:t>
      </w:r>
      <w:r w:rsidR="009D30F9">
        <w:t>х объединений (далее - обращений</w:t>
      </w:r>
      <w:r>
        <w:t xml:space="preserve">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CE4390">
        <w:t>-</w:t>
      </w:r>
      <w:r>
        <w:t xml:space="preserve"> </w:t>
      </w:r>
      <w:r w:rsidR="00B855F5" w:rsidRPr="0051130A">
        <w:rPr>
          <w:b/>
        </w:rPr>
        <w:t>1</w:t>
      </w:r>
      <w:r w:rsidR="00326E38" w:rsidRPr="00277E70">
        <w:rPr>
          <w:b/>
        </w:rPr>
        <w:t xml:space="preserve"> </w:t>
      </w:r>
      <w:r w:rsidR="009C6674">
        <w:t>(</w:t>
      </w:r>
      <w:r w:rsidR="00B855F5" w:rsidRPr="0051130A">
        <w:t>6</w:t>
      </w:r>
      <w:r w:rsidR="00B855F5">
        <w:t>,7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CE4390">
        <w:t>-</w:t>
      </w:r>
      <w:r>
        <w:t xml:space="preserve"> </w:t>
      </w:r>
      <w:r w:rsidR="00B855F5">
        <w:rPr>
          <w:b/>
        </w:rPr>
        <w:t>6</w:t>
      </w:r>
      <w:r w:rsidR="009C6674">
        <w:rPr>
          <w:b/>
        </w:rPr>
        <w:t xml:space="preserve"> </w:t>
      </w:r>
      <w:r w:rsidR="009C6674" w:rsidRPr="009C6674">
        <w:t>(</w:t>
      </w:r>
      <w:r w:rsidR="00B855F5">
        <w:t>40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CE4390">
        <w:t>-</w:t>
      </w:r>
      <w:r>
        <w:t xml:space="preserve"> </w:t>
      </w:r>
      <w:r w:rsidR="009D30F9">
        <w:rPr>
          <w:b/>
        </w:rPr>
        <w:t>8</w:t>
      </w:r>
      <w:r w:rsidR="009C6674">
        <w:rPr>
          <w:b/>
        </w:rPr>
        <w:t xml:space="preserve"> </w:t>
      </w:r>
      <w:r w:rsidR="009C6674" w:rsidRPr="009C6674">
        <w:t>(</w:t>
      </w:r>
      <w:r w:rsidR="00B855F5">
        <w:t>53,3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CE4390">
        <w:t>-</w:t>
      </w:r>
      <w:r>
        <w:t xml:space="preserve"> </w:t>
      </w:r>
      <w:r w:rsidR="0051130A">
        <w:rPr>
          <w:b/>
        </w:rPr>
        <w:t>10</w:t>
      </w:r>
      <w:r w:rsidR="002F574E">
        <w:rPr>
          <w:b/>
        </w:rPr>
        <w:t xml:space="preserve"> </w:t>
      </w:r>
      <w:r>
        <w:t>(</w:t>
      </w:r>
      <w:r w:rsidR="0051130A">
        <w:t>66,7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CE4390">
        <w:t>-</w:t>
      </w:r>
      <w:r>
        <w:t xml:space="preserve"> </w:t>
      </w:r>
      <w:r w:rsidR="0051130A">
        <w:rPr>
          <w:b/>
        </w:rPr>
        <w:t>5</w:t>
      </w:r>
      <w:r w:rsidR="002F574E">
        <w:rPr>
          <w:b/>
        </w:rPr>
        <w:t xml:space="preserve"> </w:t>
      </w:r>
      <w:r>
        <w:t>(</w:t>
      </w:r>
      <w:r w:rsidR="0051130A">
        <w:t>33,3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F21284" w:rsidP="009C4726">
      <w:r>
        <w:t>в</w:t>
      </w:r>
      <w:r w:rsidR="0060354D">
        <w:t>первые</w:t>
      </w:r>
      <w:r>
        <w:t xml:space="preserve"> - </w:t>
      </w:r>
      <w:r w:rsidR="0051130A">
        <w:rPr>
          <w:b/>
        </w:rPr>
        <w:t>15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="0060354D"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F21284">
        <w:t xml:space="preserve">от граждан - </w:t>
      </w:r>
      <w:r w:rsidR="0051130A">
        <w:rPr>
          <w:b/>
        </w:rPr>
        <w:t>15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F21284">
        <w:t>-</w:t>
      </w:r>
      <w:r>
        <w:t xml:space="preserve"> </w:t>
      </w:r>
      <w:r w:rsidR="00E17B79">
        <w:rPr>
          <w:b/>
        </w:rPr>
        <w:t>7</w:t>
      </w:r>
      <w:r w:rsidR="002F574E">
        <w:rPr>
          <w:b/>
        </w:rPr>
        <w:t xml:space="preserve"> </w:t>
      </w:r>
      <w:r w:rsidR="00763E75">
        <w:t>(</w:t>
      </w:r>
      <w:r w:rsidR="00E17B79">
        <w:t>46,7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F21284">
        <w:t>-</w:t>
      </w:r>
      <w:r w:rsidR="00700D0D">
        <w:t xml:space="preserve"> </w:t>
      </w:r>
      <w:r w:rsidR="00700D0D">
        <w:rPr>
          <w:b/>
        </w:rPr>
        <w:t>8</w:t>
      </w:r>
      <w:r w:rsidR="00F46EDB">
        <w:rPr>
          <w:b/>
        </w:rPr>
        <w:t xml:space="preserve"> </w:t>
      </w:r>
      <w:r w:rsidR="008A1A12">
        <w:t>(</w:t>
      </w:r>
      <w:r w:rsidR="00700D0D">
        <w:t>53,3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F2" w:rsidRDefault="00E875F2" w:rsidP="009C4726"/>
    <w:p w:rsidR="000E5404" w:rsidRDefault="000E5404" w:rsidP="009C4726"/>
    <w:p w:rsidR="000E5404" w:rsidRDefault="000E5404" w:rsidP="009C4726">
      <w:r w:rsidRPr="000E5404">
        <w:rPr>
          <w:noProof/>
        </w:rPr>
        <w:drawing>
          <wp:inline distT="0" distB="0" distL="0" distR="0">
            <wp:extent cx="5770143" cy="3189428"/>
            <wp:effectExtent l="19050" t="0" r="2007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 w:rsidR="000C49FE">
        <w:t>в 4</w:t>
      </w:r>
      <w:r w:rsidRPr="001D6F94">
        <w:rPr>
          <w:b/>
        </w:rPr>
        <w:t xml:space="preserve"> квартале 20</w:t>
      </w:r>
      <w:r w:rsidR="009C4FAF">
        <w:rPr>
          <w:b/>
        </w:rPr>
        <w:t>20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9C4FAF" w:rsidRPr="00FB1E6A" w:rsidRDefault="000C49FE" w:rsidP="009C4FAF">
      <w:pPr>
        <w:rPr>
          <w:color w:val="000000" w:themeColor="text1"/>
        </w:rPr>
      </w:pPr>
      <w:r>
        <w:rPr>
          <w:color w:val="000000" w:themeColor="text1"/>
        </w:rPr>
        <w:t>Краснодарский край</w:t>
      </w:r>
      <w:r w:rsidR="009C4FAF" w:rsidRPr="00FB1E6A">
        <w:rPr>
          <w:color w:val="000000" w:themeColor="text1"/>
        </w:rPr>
        <w:t xml:space="preserve"> - </w:t>
      </w:r>
      <w:r w:rsidR="009C4FAF" w:rsidRPr="00FB1E6A">
        <w:rPr>
          <w:b/>
          <w:color w:val="000000" w:themeColor="text1"/>
        </w:rPr>
        <w:t xml:space="preserve">1 </w:t>
      </w:r>
      <w:r w:rsidR="009C4FAF" w:rsidRPr="00FB1E6A">
        <w:rPr>
          <w:color w:val="000000" w:themeColor="text1"/>
        </w:rPr>
        <w:t>(</w:t>
      </w:r>
      <w:r>
        <w:rPr>
          <w:color w:val="000000" w:themeColor="text1"/>
        </w:rPr>
        <w:t>6,7</w:t>
      </w:r>
      <w:r w:rsidR="009C4FAF" w:rsidRPr="00FB1E6A">
        <w:rPr>
          <w:color w:val="000000" w:themeColor="text1"/>
        </w:rPr>
        <w:t xml:space="preserve"> %);</w:t>
      </w:r>
    </w:p>
    <w:p w:rsidR="00EC75EA" w:rsidRPr="00FB1E6A" w:rsidRDefault="001D6F94" w:rsidP="009C4726">
      <w:pPr>
        <w:rPr>
          <w:color w:val="000000" w:themeColor="text1"/>
        </w:rPr>
      </w:pPr>
      <w:r w:rsidRPr="00FB1E6A">
        <w:rPr>
          <w:color w:val="000000" w:themeColor="text1"/>
        </w:rPr>
        <w:t>Камчатский край</w:t>
      </w:r>
      <w:r w:rsidR="002E18CA" w:rsidRPr="00FB1E6A">
        <w:rPr>
          <w:color w:val="000000" w:themeColor="text1"/>
        </w:rPr>
        <w:t xml:space="preserve"> </w:t>
      </w:r>
      <w:r w:rsidR="00F21284">
        <w:rPr>
          <w:color w:val="000000" w:themeColor="text1"/>
        </w:rPr>
        <w:t>-</w:t>
      </w:r>
      <w:r w:rsidR="002E18CA" w:rsidRPr="00FB1E6A">
        <w:rPr>
          <w:color w:val="000000" w:themeColor="text1"/>
        </w:rPr>
        <w:t xml:space="preserve"> </w:t>
      </w:r>
      <w:r w:rsidR="00BD03A7" w:rsidRPr="00FB1E6A">
        <w:rPr>
          <w:b/>
          <w:color w:val="000000" w:themeColor="text1"/>
        </w:rPr>
        <w:t>14</w:t>
      </w:r>
      <w:r w:rsidR="002F574E" w:rsidRPr="00FB1E6A">
        <w:rPr>
          <w:b/>
          <w:color w:val="000000" w:themeColor="text1"/>
        </w:rPr>
        <w:t xml:space="preserve"> </w:t>
      </w:r>
      <w:r w:rsidR="002E18CA" w:rsidRPr="00FB1E6A">
        <w:rPr>
          <w:color w:val="000000" w:themeColor="text1"/>
        </w:rPr>
        <w:t>(</w:t>
      </w:r>
      <w:r w:rsidR="00FA0D4C">
        <w:rPr>
          <w:color w:val="000000" w:themeColor="text1"/>
        </w:rPr>
        <w:t>93,3</w:t>
      </w:r>
      <w:r w:rsidR="002E18CA" w:rsidRPr="00FB1E6A">
        <w:rPr>
          <w:color w:val="000000" w:themeColor="text1"/>
        </w:rPr>
        <w:t>%)</w:t>
      </w:r>
      <w:r w:rsidR="00055998" w:rsidRPr="00FB1E6A">
        <w:rPr>
          <w:color w:val="000000" w:themeColor="text1"/>
        </w:rPr>
        <w:t>.</w:t>
      </w:r>
    </w:p>
    <w:p w:rsidR="00BF04D8" w:rsidRPr="00594E53" w:rsidRDefault="002F4BEE" w:rsidP="009C4726">
      <w:r w:rsidRPr="00594E53">
        <w:t xml:space="preserve">В </w:t>
      </w:r>
      <w:r w:rsidR="007755DE">
        <w:rPr>
          <w:b/>
        </w:rPr>
        <w:t>4</w:t>
      </w:r>
      <w:r w:rsidRPr="00594E53">
        <w:rPr>
          <w:b/>
        </w:rPr>
        <w:t xml:space="preserve"> квартале 20</w:t>
      </w:r>
      <w:r w:rsidR="009C4FAF">
        <w:rPr>
          <w:b/>
        </w:rPr>
        <w:t>20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9420B8" w:rsidRPr="009420B8">
        <w:rPr>
          <w:b/>
        </w:rPr>
        <w:t>1</w:t>
      </w:r>
      <w:r w:rsidR="00724ACD" w:rsidRPr="00724ACD">
        <w:rPr>
          <w:b/>
        </w:rPr>
        <w:t>4</w:t>
      </w:r>
      <w:r w:rsidRPr="00594E53">
        <w:t xml:space="preserve"> обращени</w:t>
      </w:r>
      <w:r w:rsidR="009420B8">
        <w:t>й</w:t>
      </w:r>
      <w:r w:rsidRPr="00594E53">
        <w:t xml:space="preserve"> граждан, что </w:t>
      </w:r>
      <w:r w:rsidR="003C2A9F" w:rsidRPr="00594E53">
        <w:t xml:space="preserve">на </w:t>
      </w:r>
      <w:r w:rsidR="00724ACD" w:rsidRPr="00724ACD">
        <w:rPr>
          <w:b/>
        </w:rPr>
        <w:t>22</w:t>
      </w:r>
      <w:r w:rsidR="00724ACD">
        <w:rPr>
          <w:b/>
        </w:rPr>
        <w:t>,2</w:t>
      </w:r>
      <w:r w:rsidR="003C2A9F" w:rsidRPr="00594E53">
        <w:t xml:space="preserve">% </w:t>
      </w:r>
      <w:r w:rsidR="000F7F3A">
        <w:t>меньше</w:t>
      </w:r>
      <w:r w:rsidR="00763E75" w:rsidRPr="00594E53">
        <w:t xml:space="preserve">, чем в </w:t>
      </w:r>
      <w:r w:rsidR="000F7F3A">
        <w:rPr>
          <w:b/>
        </w:rPr>
        <w:t>3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9420B8">
        <w:rPr>
          <w:b/>
        </w:rPr>
        <w:t>2020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0F7F3A">
        <w:t xml:space="preserve">, и на </w:t>
      </w:r>
      <w:r w:rsidR="00724ACD">
        <w:rPr>
          <w:b/>
        </w:rPr>
        <w:t>30</w:t>
      </w:r>
      <w:r w:rsidR="000F7F3A" w:rsidRPr="00032B27">
        <w:rPr>
          <w:b/>
        </w:rPr>
        <w:t>%</w:t>
      </w:r>
      <w:r w:rsidR="00EA5029" w:rsidRPr="00EA5029">
        <w:t xml:space="preserve"> </w:t>
      </w:r>
      <w:r w:rsidR="000F7F3A">
        <w:t xml:space="preserve">меньше в </w:t>
      </w:r>
      <w:r w:rsidR="000F7F3A" w:rsidRPr="000F7F3A">
        <w:rPr>
          <w:b/>
        </w:rPr>
        <w:t>4 квартале</w:t>
      </w:r>
      <w:r w:rsidR="000F7F3A">
        <w:t xml:space="preserve"> </w:t>
      </w:r>
      <w:r w:rsidR="000F7F3A" w:rsidRPr="000F7F3A">
        <w:rPr>
          <w:b/>
        </w:rPr>
        <w:t>2019 года.</w:t>
      </w:r>
      <w:r w:rsidR="000F7F3A">
        <w:t xml:space="preserve"> </w:t>
      </w:r>
      <w:r w:rsidR="009C2A50">
        <w:t>К</w:t>
      </w:r>
      <w:r w:rsidR="00963C5B" w:rsidRPr="00594E53">
        <w:t xml:space="preserve">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54462B" w:rsidRPr="00594E53">
        <w:rPr>
          <w:b/>
        </w:rPr>
        <w:t>на 1</w:t>
      </w:r>
      <w:r w:rsidR="00055998" w:rsidRPr="00594E53">
        <w:rPr>
          <w:b/>
        </w:rPr>
        <w:t xml:space="preserve"> </w:t>
      </w:r>
      <w:r w:rsidR="00C41B92">
        <w:rPr>
          <w:b/>
        </w:rPr>
        <w:t>января</w:t>
      </w:r>
      <w:r w:rsidR="0054462B" w:rsidRPr="00594E53">
        <w:rPr>
          <w:b/>
        </w:rPr>
        <w:t xml:space="preserve"> 20</w:t>
      </w:r>
      <w:r w:rsidR="00C41B92">
        <w:rPr>
          <w:b/>
        </w:rPr>
        <w:t>21</w:t>
      </w:r>
      <w:r w:rsidR="008141DE">
        <w:t>-</w:t>
      </w:r>
      <w:r w:rsidR="00C41B92">
        <w:rPr>
          <w:b/>
        </w:rPr>
        <w:t>1.</w:t>
      </w:r>
    </w:p>
    <w:p w:rsidR="003C2A9F" w:rsidRPr="00594E53" w:rsidRDefault="00763E75" w:rsidP="009C4726">
      <w:r w:rsidRPr="00594E53">
        <w:lastRenderedPageBreak/>
        <w:t xml:space="preserve">По результатам рассмотрения обращений граждан в </w:t>
      </w:r>
      <w:r w:rsidR="00343BDE">
        <w:rPr>
          <w:b/>
        </w:rPr>
        <w:t>4</w:t>
      </w:r>
      <w:r w:rsidRPr="00594E53">
        <w:rPr>
          <w:b/>
        </w:rPr>
        <w:t xml:space="preserve"> квартале 20</w:t>
      </w:r>
      <w:r w:rsidR="00E875F2">
        <w:rPr>
          <w:b/>
        </w:rPr>
        <w:t>20</w:t>
      </w:r>
      <w:r w:rsidRPr="00594E53">
        <w:rPr>
          <w:b/>
        </w:rPr>
        <w:t xml:space="preserve"> года</w:t>
      </w:r>
      <w:r w:rsidRPr="00594E53">
        <w:t xml:space="preserve"> дан</w:t>
      </w:r>
      <w:r w:rsidR="00055998" w:rsidRPr="00594E53">
        <w:t>о</w:t>
      </w:r>
      <w:r w:rsidRPr="00594E53">
        <w:t xml:space="preserve"> </w:t>
      </w:r>
      <w:r w:rsidR="004E04C1">
        <w:rPr>
          <w:b/>
        </w:rPr>
        <w:t>1</w:t>
      </w:r>
      <w:r w:rsidR="00303BCD">
        <w:rPr>
          <w:b/>
        </w:rPr>
        <w:t>4</w:t>
      </w:r>
      <w:r w:rsidR="00515E8F" w:rsidRPr="00594E53">
        <w:t xml:space="preserve"> </w:t>
      </w:r>
      <w:r w:rsidR="002F574E" w:rsidRPr="00594E53">
        <w:t>ответ</w:t>
      </w:r>
      <w:r w:rsidR="004E04C1">
        <w:t>ов</w:t>
      </w:r>
      <w:r w:rsidRPr="00594E53">
        <w:t xml:space="preserve">, что на </w:t>
      </w:r>
      <w:r w:rsidR="00954E02" w:rsidRPr="00954E02">
        <w:rPr>
          <w:b/>
        </w:rPr>
        <w:t>2</w:t>
      </w:r>
      <w:r w:rsidR="00954E02">
        <w:rPr>
          <w:b/>
        </w:rPr>
        <w:t>2,2</w:t>
      </w:r>
      <w:r w:rsidRPr="00303BCD">
        <w:rPr>
          <w:b/>
        </w:rPr>
        <w:t>%</w:t>
      </w:r>
      <w:r w:rsidRPr="00594E53">
        <w:t xml:space="preserve"> </w:t>
      </w:r>
      <w:r w:rsidR="00303BCD">
        <w:t>меньше</w:t>
      </w:r>
      <w:r w:rsidRPr="00594E53">
        <w:t xml:space="preserve">, чем в </w:t>
      </w:r>
      <w:r w:rsidR="003F298B">
        <w:rPr>
          <w:b/>
        </w:rPr>
        <w:t>3</w:t>
      </w:r>
      <w:r w:rsidRPr="00594E53">
        <w:rPr>
          <w:b/>
        </w:rPr>
        <w:t xml:space="preserve"> квартале </w:t>
      </w:r>
      <w:r w:rsidR="00515E8F" w:rsidRPr="00594E53">
        <w:rPr>
          <w:b/>
        </w:rPr>
        <w:t>20</w:t>
      </w:r>
      <w:r w:rsidR="00E75CD1">
        <w:rPr>
          <w:b/>
        </w:rPr>
        <w:t>20</w:t>
      </w:r>
      <w:r w:rsidRPr="00594E53">
        <w:rPr>
          <w:b/>
        </w:rPr>
        <w:t xml:space="preserve"> года</w:t>
      </w:r>
      <w:r w:rsidR="00BC4A55">
        <w:t xml:space="preserve">, и на </w:t>
      </w:r>
      <w:r w:rsidR="00BC4A55" w:rsidRPr="00303BCD">
        <w:rPr>
          <w:b/>
        </w:rPr>
        <w:t>3</w:t>
      </w:r>
      <w:r w:rsidR="00BC4A55">
        <w:rPr>
          <w:b/>
        </w:rPr>
        <w:t>0</w:t>
      </w:r>
      <w:r w:rsidR="00BC4A55" w:rsidRPr="00303BCD">
        <w:rPr>
          <w:b/>
        </w:rPr>
        <w:t>%</w:t>
      </w:r>
      <w:r w:rsidR="00BC4A55" w:rsidRPr="00594E53">
        <w:t xml:space="preserve"> </w:t>
      </w:r>
      <w:r w:rsidR="00BC4A55">
        <w:t xml:space="preserve">меньше, чем в </w:t>
      </w:r>
      <w:r w:rsidR="00BC4A55" w:rsidRPr="00BC4A55">
        <w:rPr>
          <w:b/>
        </w:rPr>
        <w:t>4 квартале 2019 года</w:t>
      </w:r>
      <w:r w:rsidR="00BC4A55">
        <w:t xml:space="preserve">.  </w:t>
      </w:r>
      <w:r w:rsidR="004C3ADD" w:rsidRPr="00594E53">
        <w:t xml:space="preserve"> </w:t>
      </w:r>
      <w:r w:rsidR="000631EE">
        <w:t>И</w:t>
      </w:r>
      <w:r w:rsidRPr="00594E53">
        <w:t>з них:</w:t>
      </w:r>
    </w:p>
    <w:p w:rsidR="00763E75" w:rsidRPr="00594E53" w:rsidRDefault="00763E75" w:rsidP="009C4726">
      <w:proofErr w:type="gramStart"/>
      <w:r w:rsidRPr="00594E53">
        <w:t>письменных</w:t>
      </w:r>
      <w:proofErr w:type="gramEnd"/>
      <w:r w:rsidRPr="00594E53">
        <w:t xml:space="preserve"> - </w:t>
      </w:r>
      <w:r w:rsidR="000631EE">
        <w:rPr>
          <w:b/>
        </w:rPr>
        <w:t>1</w:t>
      </w:r>
      <w:r w:rsidR="00C04178">
        <w:rPr>
          <w:b/>
        </w:rPr>
        <w:t>4</w:t>
      </w:r>
      <w:r w:rsidRPr="00594E53">
        <w:t xml:space="preserve"> (</w:t>
      </w:r>
      <w:r w:rsidR="00873749">
        <w:t>93</w:t>
      </w:r>
      <w:r w:rsidR="00C04178">
        <w:t>,3</w:t>
      </w:r>
      <w:r w:rsidRPr="00594E53">
        <w:t>%)</w:t>
      </w:r>
      <w:r w:rsidR="009322A4">
        <w:t xml:space="preserve">, на рассмотрении </w:t>
      </w:r>
      <w:r w:rsidR="009322A4" w:rsidRPr="009322A4">
        <w:rPr>
          <w:b/>
        </w:rPr>
        <w:t>- 1</w:t>
      </w:r>
      <w:r w:rsidR="009322A4">
        <w:rPr>
          <w:b/>
        </w:rPr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887FFD" w:rsidP="009C4726">
      <w:r>
        <w:t>«Дан ответ автору» -</w:t>
      </w:r>
      <w:r w:rsidR="00544AAF">
        <w:t xml:space="preserve"> </w:t>
      </w:r>
      <w:r w:rsidR="00F66DEC">
        <w:rPr>
          <w:b/>
        </w:rPr>
        <w:t>1</w:t>
      </w:r>
      <w:r w:rsidR="00B748B0">
        <w:rPr>
          <w:b/>
        </w:rPr>
        <w:t>4</w:t>
      </w:r>
      <w:r w:rsidR="00697922">
        <w:t xml:space="preserve"> (</w:t>
      </w:r>
      <w:r w:rsidR="003F6947">
        <w:t>93</w:t>
      </w:r>
      <w:r w:rsidR="00B748B0">
        <w:t>,3</w:t>
      </w:r>
      <w:r w:rsidR="00697922">
        <w:t>%);</w:t>
      </w:r>
    </w:p>
    <w:p w:rsidR="00E875F2" w:rsidRDefault="00E875F2" w:rsidP="009C4726">
      <w:r>
        <w:t xml:space="preserve">«Разъяснено» - </w:t>
      </w:r>
      <w:r w:rsidR="00B748B0">
        <w:rPr>
          <w:b/>
        </w:rPr>
        <w:t>9</w:t>
      </w:r>
      <w:r>
        <w:t xml:space="preserve"> (</w:t>
      </w:r>
      <w:r w:rsidR="00544AAF">
        <w:t>6</w:t>
      </w:r>
      <w:r w:rsidR="005C5E91">
        <w:t>0</w:t>
      </w:r>
      <w:r>
        <w:t>%);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 w:rsidR="00887FFD">
        <w:t>слуга» -</w:t>
      </w:r>
      <w:r>
        <w:t xml:space="preserve"> </w:t>
      </w:r>
      <w:r w:rsidR="008B7E34">
        <w:rPr>
          <w:b/>
        </w:rPr>
        <w:t>5</w:t>
      </w:r>
      <w:r>
        <w:t xml:space="preserve"> (</w:t>
      </w:r>
      <w:r w:rsidR="005C5E91">
        <w:t>33,3</w:t>
      </w:r>
      <w:r>
        <w:t>%)</w:t>
      </w:r>
    </w:p>
    <w:p w:rsidR="005C5E91" w:rsidRDefault="005C5E91" w:rsidP="009C4726">
      <w:r>
        <w:t xml:space="preserve">«На рассмотрении» </w:t>
      </w:r>
      <w:r w:rsidRPr="005C5E91">
        <w:rPr>
          <w:b/>
        </w:rPr>
        <w:t>- 1</w:t>
      </w:r>
      <w:r>
        <w:rPr>
          <w:b/>
        </w:rPr>
        <w:t xml:space="preserve"> </w:t>
      </w:r>
      <w:r w:rsidRPr="005C5E91">
        <w:t>(6,7%)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D11608">
        <w:rPr>
          <w:b/>
        </w:rPr>
        <w:t>1</w:t>
      </w:r>
      <w:r w:rsidR="00211E65">
        <w:rPr>
          <w:b/>
        </w:rPr>
        <w:t>4</w:t>
      </w:r>
      <w:r>
        <w:t xml:space="preserve"> (</w:t>
      </w:r>
      <w:r w:rsidR="00211E65">
        <w:t>93,3</w:t>
      </w:r>
      <w:r>
        <w:t>%)</w:t>
      </w:r>
      <w:r w:rsidR="00211E65">
        <w:t>;</w:t>
      </w:r>
    </w:p>
    <w:p w:rsidR="00211E65" w:rsidRDefault="00211E65" w:rsidP="009C4726">
      <w:r>
        <w:t xml:space="preserve">находится на рассмотрении </w:t>
      </w:r>
      <w:r w:rsidR="00887FFD">
        <w:t>-</w:t>
      </w:r>
      <w:r>
        <w:t xml:space="preserve"> </w:t>
      </w:r>
      <w:r w:rsidRPr="00887FFD">
        <w:rPr>
          <w:b/>
        </w:rPr>
        <w:t>1</w:t>
      </w:r>
      <w:r>
        <w:t xml:space="preserve"> (</w:t>
      </w:r>
      <w:r w:rsidR="004A4CDC">
        <w:t>6,7%)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D11608">
        <w:rPr>
          <w:b/>
        </w:rPr>
        <w:t>1</w:t>
      </w:r>
      <w:r w:rsidR="00A462A3">
        <w:rPr>
          <w:b/>
        </w:rPr>
        <w:t>5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>за подп</w:t>
      </w:r>
      <w:r w:rsidR="00545F32">
        <w:t xml:space="preserve">исью руководителя </w:t>
      </w:r>
      <w:proofErr w:type="spellStart"/>
      <w:r w:rsidR="00545F32">
        <w:t>Камчатстата</w:t>
      </w:r>
      <w:proofErr w:type="spellEnd"/>
      <w:r w:rsidR="00545F32">
        <w:t xml:space="preserve"> - </w:t>
      </w:r>
      <w:r w:rsidR="00BC5FD6">
        <w:rPr>
          <w:b/>
        </w:rPr>
        <w:t>14</w:t>
      </w:r>
      <w:r w:rsidR="009107CE">
        <w:rPr>
          <w:b/>
        </w:rPr>
        <w:t xml:space="preserve"> </w:t>
      </w:r>
      <w:r w:rsidR="009107CE" w:rsidRPr="009107CE">
        <w:t>(</w:t>
      </w:r>
      <w:r w:rsidR="00BC5FD6">
        <w:t>93,3</w:t>
      </w:r>
      <w:r w:rsidRPr="00BA558F">
        <w:t>%)</w:t>
      </w:r>
      <w:r w:rsidR="00E875F2">
        <w:t>;</w:t>
      </w:r>
    </w:p>
    <w:p w:rsidR="00BC5FD6" w:rsidRDefault="00BC5FD6" w:rsidP="008C45AB">
      <w:r>
        <w:t xml:space="preserve">на рассмотрении </w:t>
      </w:r>
      <w:r w:rsidRPr="00BC5FD6">
        <w:rPr>
          <w:b/>
        </w:rPr>
        <w:t>- 1</w:t>
      </w:r>
      <w:r>
        <w:rPr>
          <w:b/>
        </w:rPr>
        <w:t xml:space="preserve"> </w:t>
      </w:r>
      <w:r w:rsidRPr="00BC5FD6">
        <w:t>(6,7%).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A462A3">
        <w:rPr>
          <w:b/>
          <w:sz w:val="28"/>
          <w:szCs w:val="28"/>
        </w:rPr>
        <w:t>4</w:t>
      </w:r>
      <w:r w:rsidRPr="006E7B40">
        <w:rPr>
          <w:b/>
          <w:sz w:val="28"/>
          <w:szCs w:val="28"/>
        </w:rPr>
        <w:t xml:space="preserve"> квартале 20</w:t>
      </w:r>
      <w:r w:rsidR="00E875F2">
        <w:rPr>
          <w:b/>
          <w:sz w:val="28"/>
          <w:szCs w:val="28"/>
        </w:rPr>
        <w:t>20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94" w:rsidRDefault="007F6694" w:rsidP="00CD7746">
      <w:r>
        <w:separator/>
      </w:r>
    </w:p>
  </w:endnote>
  <w:endnote w:type="continuationSeparator" w:id="0">
    <w:p w:rsidR="007F6694" w:rsidRDefault="007F6694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94" w:rsidRDefault="007F6694" w:rsidP="00CD7746">
      <w:r>
        <w:separator/>
      </w:r>
    </w:p>
  </w:footnote>
  <w:footnote w:type="continuationSeparator" w:id="0">
    <w:p w:rsidR="007F6694" w:rsidRDefault="007F6694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1C0E85">
        <w:pPr>
          <w:pStyle w:val="a8"/>
          <w:jc w:val="center"/>
        </w:pPr>
        <w:fldSimple w:instr="PAGE   \* MERGEFORMAT">
          <w:r w:rsidR="00BC5FD6">
            <w:rPr>
              <w:noProof/>
            </w:rPr>
            <w:t>3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B27"/>
    <w:rsid w:val="00032F64"/>
    <w:rsid w:val="00033638"/>
    <w:rsid w:val="00034BCB"/>
    <w:rsid w:val="00045051"/>
    <w:rsid w:val="00055998"/>
    <w:rsid w:val="000563D1"/>
    <w:rsid w:val="000631EE"/>
    <w:rsid w:val="0006348E"/>
    <w:rsid w:val="000862EA"/>
    <w:rsid w:val="00086E38"/>
    <w:rsid w:val="0009189E"/>
    <w:rsid w:val="000C44B6"/>
    <w:rsid w:val="000C49FE"/>
    <w:rsid w:val="000D1796"/>
    <w:rsid w:val="000D42CA"/>
    <w:rsid w:val="000E5404"/>
    <w:rsid w:val="000F5E4E"/>
    <w:rsid w:val="000F7F3A"/>
    <w:rsid w:val="00112A9D"/>
    <w:rsid w:val="00121B8E"/>
    <w:rsid w:val="00136630"/>
    <w:rsid w:val="001378F2"/>
    <w:rsid w:val="001428B4"/>
    <w:rsid w:val="001445DE"/>
    <w:rsid w:val="00145B64"/>
    <w:rsid w:val="0015757A"/>
    <w:rsid w:val="0019210A"/>
    <w:rsid w:val="001A33CB"/>
    <w:rsid w:val="001A406A"/>
    <w:rsid w:val="001A76BB"/>
    <w:rsid w:val="001B2488"/>
    <w:rsid w:val="001C0E85"/>
    <w:rsid w:val="001C2FD0"/>
    <w:rsid w:val="001D6F94"/>
    <w:rsid w:val="001E3DEA"/>
    <w:rsid w:val="002031DB"/>
    <w:rsid w:val="00211E65"/>
    <w:rsid w:val="002131A8"/>
    <w:rsid w:val="002215DA"/>
    <w:rsid w:val="00247244"/>
    <w:rsid w:val="00261BB3"/>
    <w:rsid w:val="002729F7"/>
    <w:rsid w:val="00277E70"/>
    <w:rsid w:val="00280953"/>
    <w:rsid w:val="002941A4"/>
    <w:rsid w:val="002A71C1"/>
    <w:rsid w:val="002C40FF"/>
    <w:rsid w:val="002D7EBB"/>
    <w:rsid w:val="002E18CA"/>
    <w:rsid w:val="002F1628"/>
    <w:rsid w:val="002F1C27"/>
    <w:rsid w:val="002F4BEE"/>
    <w:rsid w:val="002F574E"/>
    <w:rsid w:val="00303BCD"/>
    <w:rsid w:val="003207F3"/>
    <w:rsid w:val="00322AB1"/>
    <w:rsid w:val="00323189"/>
    <w:rsid w:val="00326E38"/>
    <w:rsid w:val="00342E4C"/>
    <w:rsid w:val="00343BDE"/>
    <w:rsid w:val="00365C1B"/>
    <w:rsid w:val="00371B6D"/>
    <w:rsid w:val="00373DFE"/>
    <w:rsid w:val="00375C94"/>
    <w:rsid w:val="00381DE3"/>
    <w:rsid w:val="00395C36"/>
    <w:rsid w:val="003C1206"/>
    <w:rsid w:val="003C2A9F"/>
    <w:rsid w:val="003D1277"/>
    <w:rsid w:val="003F298B"/>
    <w:rsid w:val="003F4840"/>
    <w:rsid w:val="003F6947"/>
    <w:rsid w:val="003F7D31"/>
    <w:rsid w:val="00407373"/>
    <w:rsid w:val="00413BD0"/>
    <w:rsid w:val="00423E73"/>
    <w:rsid w:val="00431F67"/>
    <w:rsid w:val="00432AD9"/>
    <w:rsid w:val="00435BDA"/>
    <w:rsid w:val="0043644C"/>
    <w:rsid w:val="004544A9"/>
    <w:rsid w:val="00494967"/>
    <w:rsid w:val="00497830"/>
    <w:rsid w:val="004A4CDC"/>
    <w:rsid w:val="004B0A57"/>
    <w:rsid w:val="004B580D"/>
    <w:rsid w:val="004C1ABA"/>
    <w:rsid w:val="004C3ADD"/>
    <w:rsid w:val="004E04C1"/>
    <w:rsid w:val="004F57CC"/>
    <w:rsid w:val="0051130A"/>
    <w:rsid w:val="00515E8F"/>
    <w:rsid w:val="00520A2D"/>
    <w:rsid w:val="00530106"/>
    <w:rsid w:val="0054462B"/>
    <w:rsid w:val="00544AAF"/>
    <w:rsid w:val="00545F32"/>
    <w:rsid w:val="00547970"/>
    <w:rsid w:val="00552C11"/>
    <w:rsid w:val="00567D2A"/>
    <w:rsid w:val="00573423"/>
    <w:rsid w:val="0057780B"/>
    <w:rsid w:val="00594E53"/>
    <w:rsid w:val="005975A5"/>
    <w:rsid w:val="005A34B7"/>
    <w:rsid w:val="005C229A"/>
    <w:rsid w:val="005C5E91"/>
    <w:rsid w:val="005E3537"/>
    <w:rsid w:val="00600058"/>
    <w:rsid w:val="0060354D"/>
    <w:rsid w:val="00605B00"/>
    <w:rsid w:val="00605FC6"/>
    <w:rsid w:val="006320E1"/>
    <w:rsid w:val="006505E9"/>
    <w:rsid w:val="0065169B"/>
    <w:rsid w:val="00656169"/>
    <w:rsid w:val="00660D7C"/>
    <w:rsid w:val="006801F8"/>
    <w:rsid w:val="0069439A"/>
    <w:rsid w:val="00694D24"/>
    <w:rsid w:val="00697922"/>
    <w:rsid w:val="006B402D"/>
    <w:rsid w:val="006B588A"/>
    <w:rsid w:val="006C7AD4"/>
    <w:rsid w:val="006E7B40"/>
    <w:rsid w:val="006F7449"/>
    <w:rsid w:val="00700D0D"/>
    <w:rsid w:val="00702548"/>
    <w:rsid w:val="00712CC2"/>
    <w:rsid w:val="0072111A"/>
    <w:rsid w:val="00724ACD"/>
    <w:rsid w:val="00732057"/>
    <w:rsid w:val="007478C8"/>
    <w:rsid w:val="00753ABE"/>
    <w:rsid w:val="007609D2"/>
    <w:rsid w:val="00763E75"/>
    <w:rsid w:val="00770527"/>
    <w:rsid w:val="007755DE"/>
    <w:rsid w:val="00775E07"/>
    <w:rsid w:val="00784100"/>
    <w:rsid w:val="00786548"/>
    <w:rsid w:val="007B0BE9"/>
    <w:rsid w:val="007D1070"/>
    <w:rsid w:val="007D38F9"/>
    <w:rsid w:val="007D3E35"/>
    <w:rsid w:val="007F6694"/>
    <w:rsid w:val="008141DE"/>
    <w:rsid w:val="00821A49"/>
    <w:rsid w:val="00822055"/>
    <w:rsid w:val="0086148E"/>
    <w:rsid w:val="00873749"/>
    <w:rsid w:val="00875CE6"/>
    <w:rsid w:val="00887FFD"/>
    <w:rsid w:val="008A1A12"/>
    <w:rsid w:val="008A34D3"/>
    <w:rsid w:val="008A67E9"/>
    <w:rsid w:val="008B2B11"/>
    <w:rsid w:val="008B56DA"/>
    <w:rsid w:val="008B7E34"/>
    <w:rsid w:val="008C05B3"/>
    <w:rsid w:val="008C45AB"/>
    <w:rsid w:val="008C695F"/>
    <w:rsid w:val="009107CE"/>
    <w:rsid w:val="00912071"/>
    <w:rsid w:val="009136BD"/>
    <w:rsid w:val="009322A4"/>
    <w:rsid w:val="00935793"/>
    <w:rsid w:val="009420B8"/>
    <w:rsid w:val="00954E02"/>
    <w:rsid w:val="0095664D"/>
    <w:rsid w:val="00963C5B"/>
    <w:rsid w:val="009661E0"/>
    <w:rsid w:val="0096675D"/>
    <w:rsid w:val="00977803"/>
    <w:rsid w:val="0098157E"/>
    <w:rsid w:val="009947EC"/>
    <w:rsid w:val="00995AF0"/>
    <w:rsid w:val="009A05C4"/>
    <w:rsid w:val="009A1C7F"/>
    <w:rsid w:val="009A5C20"/>
    <w:rsid w:val="009B1145"/>
    <w:rsid w:val="009B1AF3"/>
    <w:rsid w:val="009B6C74"/>
    <w:rsid w:val="009C2A50"/>
    <w:rsid w:val="009C4726"/>
    <w:rsid w:val="009C4FAF"/>
    <w:rsid w:val="009C5C97"/>
    <w:rsid w:val="009C6674"/>
    <w:rsid w:val="009D30F9"/>
    <w:rsid w:val="009F4D42"/>
    <w:rsid w:val="00A02F17"/>
    <w:rsid w:val="00A21EB6"/>
    <w:rsid w:val="00A3187C"/>
    <w:rsid w:val="00A462A3"/>
    <w:rsid w:val="00A46789"/>
    <w:rsid w:val="00A527FB"/>
    <w:rsid w:val="00A61728"/>
    <w:rsid w:val="00AA4871"/>
    <w:rsid w:val="00AA7896"/>
    <w:rsid w:val="00AB304D"/>
    <w:rsid w:val="00AB4DFC"/>
    <w:rsid w:val="00AD2A25"/>
    <w:rsid w:val="00AE14DF"/>
    <w:rsid w:val="00AE65D1"/>
    <w:rsid w:val="00AE7D2B"/>
    <w:rsid w:val="00AF24FA"/>
    <w:rsid w:val="00B00A79"/>
    <w:rsid w:val="00B02F24"/>
    <w:rsid w:val="00B205D3"/>
    <w:rsid w:val="00B261C8"/>
    <w:rsid w:val="00B26DB3"/>
    <w:rsid w:val="00B47657"/>
    <w:rsid w:val="00B477C4"/>
    <w:rsid w:val="00B5249B"/>
    <w:rsid w:val="00B748B0"/>
    <w:rsid w:val="00B855F5"/>
    <w:rsid w:val="00B93504"/>
    <w:rsid w:val="00B96377"/>
    <w:rsid w:val="00BA558F"/>
    <w:rsid w:val="00BC04A6"/>
    <w:rsid w:val="00BC24CF"/>
    <w:rsid w:val="00BC4A55"/>
    <w:rsid w:val="00BC5FD6"/>
    <w:rsid w:val="00BD03A7"/>
    <w:rsid w:val="00BD0D2C"/>
    <w:rsid w:val="00BD19AB"/>
    <w:rsid w:val="00BD7767"/>
    <w:rsid w:val="00BE1218"/>
    <w:rsid w:val="00BF04D8"/>
    <w:rsid w:val="00BF2461"/>
    <w:rsid w:val="00BF73AE"/>
    <w:rsid w:val="00C04178"/>
    <w:rsid w:val="00C26A25"/>
    <w:rsid w:val="00C40318"/>
    <w:rsid w:val="00C41B92"/>
    <w:rsid w:val="00C62365"/>
    <w:rsid w:val="00C6301A"/>
    <w:rsid w:val="00C64854"/>
    <w:rsid w:val="00C72F46"/>
    <w:rsid w:val="00CA715D"/>
    <w:rsid w:val="00CC1923"/>
    <w:rsid w:val="00CC1E68"/>
    <w:rsid w:val="00CC32E9"/>
    <w:rsid w:val="00CC63E8"/>
    <w:rsid w:val="00CD3BA0"/>
    <w:rsid w:val="00CD7746"/>
    <w:rsid w:val="00CE0AA8"/>
    <w:rsid w:val="00CE4390"/>
    <w:rsid w:val="00D0177A"/>
    <w:rsid w:val="00D11608"/>
    <w:rsid w:val="00D12EF1"/>
    <w:rsid w:val="00D2402C"/>
    <w:rsid w:val="00D24128"/>
    <w:rsid w:val="00D41F77"/>
    <w:rsid w:val="00D44DA5"/>
    <w:rsid w:val="00D454DD"/>
    <w:rsid w:val="00D51DAE"/>
    <w:rsid w:val="00D54FED"/>
    <w:rsid w:val="00D809E2"/>
    <w:rsid w:val="00D828EB"/>
    <w:rsid w:val="00DA3A4E"/>
    <w:rsid w:val="00DA496A"/>
    <w:rsid w:val="00DA6275"/>
    <w:rsid w:val="00DB5778"/>
    <w:rsid w:val="00DC3460"/>
    <w:rsid w:val="00DC54F3"/>
    <w:rsid w:val="00DD1B75"/>
    <w:rsid w:val="00DE39D7"/>
    <w:rsid w:val="00E13D9D"/>
    <w:rsid w:val="00E17B79"/>
    <w:rsid w:val="00E349F7"/>
    <w:rsid w:val="00E60112"/>
    <w:rsid w:val="00E64219"/>
    <w:rsid w:val="00E74A00"/>
    <w:rsid w:val="00E75CD1"/>
    <w:rsid w:val="00E84F8E"/>
    <w:rsid w:val="00E875F2"/>
    <w:rsid w:val="00E94BB1"/>
    <w:rsid w:val="00EA0038"/>
    <w:rsid w:val="00EA2A4D"/>
    <w:rsid w:val="00EA5029"/>
    <w:rsid w:val="00EC75EA"/>
    <w:rsid w:val="00ED6AA9"/>
    <w:rsid w:val="00ED7BA4"/>
    <w:rsid w:val="00EE06E9"/>
    <w:rsid w:val="00EE2098"/>
    <w:rsid w:val="00EE3703"/>
    <w:rsid w:val="00EE4ECA"/>
    <w:rsid w:val="00EE58B6"/>
    <w:rsid w:val="00EF62B3"/>
    <w:rsid w:val="00F069B3"/>
    <w:rsid w:val="00F1721F"/>
    <w:rsid w:val="00F21284"/>
    <w:rsid w:val="00F2514C"/>
    <w:rsid w:val="00F42F5A"/>
    <w:rsid w:val="00F43587"/>
    <w:rsid w:val="00F46EDB"/>
    <w:rsid w:val="00F519F5"/>
    <w:rsid w:val="00F6496B"/>
    <w:rsid w:val="00F66DEC"/>
    <w:rsid w:val="00F76ECA"/>
    <w:rsid w:val="00F85A04"/>
    <w:rsid w:val="00FA0D4C"/>
    <w:rsid w:val="00FB1E6A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5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2019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</c:dLbl>
            <c:dLbl>
              <c:idx val="1"/>
              <c:layout>
                <c:manualLayout>
                  <c:x val="1.3426538053970025E-2"/>
                  <c:y val="-4.0254818230944747E-2"/>
                </c:manualLayout>
              </c:layout>
              <c:showVal val="1"/>
            </c:dLbl>
            <c:dLbl>
              <c:idx val="2"/>
              <c:layout>
                <c:manualLayout>
                  <c:x val="7.4049411094286434E-4"/>
                  <c:y val="-5.552851812238517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2020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</c:dLbl>
            <c:dLbl>
              <c:idx val="1"/>
              <c:layout>
                <c:manualLayout>
                  <c:x val="2.0006146773424539E-2"/>
                  <c:y val="-5.3233855178064303E-2"/>
                </c:manualLayout>
              </c:layout>
              <c:showVal val="1"/>
            </c:dLbl>
            <c:dLbl>
              <c:idx val="2"/>
              <c:layout>
                <c:manualLayout>
                  <c:x val="2.4316251492673493E-2"/>
                  <c:y val="-5.323385517806430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hape val="box"/>
        <c:axId val="82703104"/>
        <c:axId val="82704640"/>
        <c:axId val="0"/>
      </c:bar3DChart>
      <c:catAx>
        <c:axId val="82703104"/>
        <c:scaling>
          <c:orientation val="minMax"/>
        </c:scaling>
        <c:axPos val="b"/>
        <c:tickLblPos val="nextTo"/>
        <c:crossAx val="82704640"/>
        <c:crosses val="autoZero"/>
        <c:auto val="1"/>
        <c:lblAlgn val="ctr"/>
        <c:lblOffset val="100"/>
      </c:catAx>
      <c:valAx>
        <c:axId val="82704640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8270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1954"/>
          <c:w val="0.20429233670232239"/>
          <c:h val="0.1879876903028204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637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2019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117E-3"/>
                  <c:y val="-1.9841269841269986E-2"/>
                </c:manualLayout>
              </c:layout>
              <c:showVal val="1"/>
            </c:dLbl>
            <c:dLbl>
              <c:idx val="1"/>
              <c:layout>
                <c:manualLayout>
                  <c:x val="6.9444444444444562E-3"/>
                  <c:y val="-3.9682539682539791E-2"/>
                </c:manualLayout>
              </c:layout>
              <c:showVal val="1"/>
            </c:dLbl>
            <c:dLbl>
              <c:idx val="2"/>
              <c:layout>
                <c:manualLayout>
                  <c:x val="-4.6296296296296563E-3"/>
                  <c:y val="-2.77777777777780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2020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hape val="box"/>
        <c:axId val="77773056"/>
        <c:axId val="77778944"/>
        <c:axId val="0"/>
      </c:bar3DChart>
      <c:catAx>
        <c:axId val="77773056"/>
        <c:scaling>
          <c:orientation val="minMax"/>
        </c:scaling>
        <c:axPos val="b"/>
        <c:tickLblPos val="nextTo"/>
        <c:crossAx val="77778944"/>
        <c:crosses val="autoZero"/>
        <c:auto val="1"/>
        <c:lblAlgn val="ctr"/>
        <c:lblOffset val="100"/>
      </c:catAx>
      <c:valAx>
        <c:axId val="77778944"/>
        <c:scaling>
          <c:orientation val="minMax"/>
        </c:scaling>
        <c:axPos val="l"/>
        <c:majorGridlines/>
        <c:numFmt formatCode="General" sourceLinked="1"/>
        <c:tickLblPos val="nextTo"/>
        <c:crossAx val="777730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ru-RU" sz="1200">
                <a:solidFill>
                  <a:schemeClr val="tx1"/>
                </a:solidFill>
              </a:rPr>
              <a:t>Тематика</a:t>
            </a:r>
            <a:r>
              <a:rPr lang="ru-RU" sz="1200" baseline="0">
                <a:solidFill>
                  <a:schemeClr val="tx1"/>
                </a:solidFill>
              </a:rPr>
              <a:t> обращений граждан в 4 квартале 2020 года</a:t>
            </a:r>
            <a:endParaRPr lang="ru-RU" sz="12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6716396803337458"/>
          <c:y val="2.647810202958044E-3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2134101355893606"/>
          <c:y val="0.34930119131079335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5.7105517142296287E-2"/>
                  <c:y val="-9.408176011498002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7803297075999706"/>
                  <c:y val="-0.1234390618004231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6883189896680276E-2"/>
                  <c:y val="0.2603579701438631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4106804632051593E-2"/>
                  <c:y val="-8.29057749540042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2866370902766189"/>
                  <c:y val="-1.4299742775193521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8.5314870012753577E-2"/>
                  <c:y val="-6.588328690912639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7.6099500480317384E-2"/>
                  <c:y val="-0.18558406084100396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2.2995097348540591E-2"/>
                  <c:y val="-0.15303308304812088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8386892664531884"/>
                  <c:y val="-7.274219703344951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Инфляция и дефляция</c:v>
                </c:pt>
                <c:pt idx="1">
                  <c:v>Запросы архивных данных</c:v>
                </c:pt>
                <c:pt idx="2">
                  <c:v>Туризм</c:v>
                </c:pt>
                <c:pt idx="3">
                  <c:v>Предоставление сведений о доходах, расходах, об имуществе и обязательствах имущ. хар-ра</c:v>
                </c:pt>
                <c:pt idx="4">
                  <c:v>Общероссийский классификатор технико-экономич. и соц. информ.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56D0-D39A-4403-8ED9-84DF3264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p41_timofeevalv</cp:lastModifiedBy>
  <cp:revision>78</cp:revision>
  <cp:lastPrinted>2020-03-30T06:28:00Z</cp:lastPrinted>
  <dcterms:created xsi:type="dcterms:W3CDTF">2020-03-30T05:52:00Z</dcterms:created>
  <dcterms:modified xsi:type="dcterms:W3CDTF">2020-12-29T02:46:00Z</dcterms:modified>
</cp:coreProperties>
</file>